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b w:val="1"/>
          <w:sz w:val="46"/>
          <w:szCs w:val="46"/>
        </w:rPr>
      </w:pPr>
      <w:bookmarkStart w:colFirst="0" w:colLast="0" w:name="_heading=h.gmwqx3oxphj9" w:id="0"/>
      <w:bookmarkEnd w:id="0"/>
      <w:r w:rsidDel="00000000" w:rsidR="00000000" w:rsidRPr="00000000">
        <w:rPr>
          <w:b w:val="1"/>
          <w:sz w:val="46"/>
          <w:szCs w:val="46"/>
          <w:rtl w:val="1"/>
        </w:rPr>
        <w:t xml:space="preserve">פרק</w:t>
      </w:r>
      <w:r w:rsidDel="00000000" w:rsidR="00000000" w:rsidRPr="00000000">
        <w:rPr>
          <w:b w:val="1"/>
          <w:sz w:val="46"/>
          <w:szCs w:val="46"/>
          <w:rtl w:val="1"/>
        </w:rPr>
        <w:t xml:space="preserve"> 7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bidi w:val="1"/>
        <w:spacing w:before="480" w:lineRule="auto"/>
        <w:rPr>
          <w:b w:val="1"/>
          <w:sz w:val="46"/>
          <w:szCs w:val="46"/>
        </w:rPr>
      </w:pPr>
      <w:bookmarkStart w:colFirst="0" w:colLast="0" w:name="_heading=h.knonpipxrlj3" w:id="1"/>
      <w:bookmarkEnd w:id="1"/>
      <w:r w:rsidDel="00000000" w:rsidR="00000000" w:rsidRPr="00000000">
        <w:rPr>
          <w:b w:val="1"/>
          <w:sz w:val="46"/>
          <w:szCs w:val="46"/>
          <w:rtl w:val="1"/>
        </w:rPr>
        <w:t xml:space="preserve">קהילה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בשיחה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eading=h.p9h4xb6tahec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יצירת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שיחות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שיתופיות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ודיאלוגיות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בהקשרים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קהילתיים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גרסיה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ומרילן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גרנדסו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eading=h.es7mpvsufjm8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ההיסטוריה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של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תרפיה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קהילתית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אינטגרטיבית</w:t>
      </w:r>
      <w:r w:rsidDel="00000000" w:rsidR="00000000" w:rsidRPr="00000000">
        <w:rPr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sz w:val="34"/>
          <w:szCs w:val="34"/>
          <w:rtl w:val="0"/>
        </w:rPr>
        <w:t xml:space="preserve">ICT</w:t>
      </w:r>
      <w:r w:rsidDel="00000000" w:rsidR="00000000" w:rsidRPr="00000000">
        <w:rPr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תרפיה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אינטגרטיבית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ופוליטית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שמטרתה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פריירה</w:t>
      </w:r>
      <w:r w:rsidDel="00000000" w:rsidR="00000000" w:rsidRPr="00000000">
        <w:rPr>
          <w:rtl w:val="1"/>
        </w:rPr>
        <w:t xml:space="preserve">, 1983; </w:t>
      </w:r>
      <w:r w:rsidDel="00000000" w:rsidR="00000000" w:rsidRPr="00000000">
        <w:rPr>
          <w:rtl w:val="1"/>
        </w:rPr>
        <w:t xml:space="preserve">מקניימי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וגרגן</w:t>
      </w:r>
      <w:r w:rsidDel="00000000" w:rsidR="00000000" w:rsidRPr="00000000">
        <w:rPr>
          <w:rtl w:val="1"/>
        </w:rPr>
        <w:t xml:space="preserve">, 1998; </w:t>
      </w:r>
      <w:r w:rsidDel="00000000" w:rsidR="00000000" w:rsidRPr="00000000">
        <w:rPr>
          <w:rtl w:val="1"/>
        </w:rPr>
        <w:t xml:space="preserve">פקמן</w:t>
      </w:r>
      <w:r w:rsidDel="00000000" w:rsidR="00000000" w:rsidRPr="00000000">
        <w:rPr>
          <w:rtl w:val="1"/>
        </w:rPr>
        <w:t xml:space="preserve">, 2018).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הדיאלוג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אנדרסון</w:t>
      </w:r>
      <w:r w:rsidDel="00000000" w:rsidR="00000000" w:rsidRPr="00000000">
        <w:rPr>
          <w:rtl w:val="1"/>
        </w:rPr>
        <w:t xml:space="preserve">, 1997; </w:t>
      </w:r>
      <w:r w:rsidDel="00000000" w:rsidR="00000000" w:rsidRPr="00000000">
        <w:rPr>
          <w:rtl w:val="1"/>
        </w:rPr>
        <w:t xml:space="preserve">סייקולה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וארנקיל</w:t>
      </w:r>
      <w:r w:rsidDel="00000000" w:rsidR="00000000" w:rsidRPr="00000000">
        <w:rPr>
          <w:rtl w:val="1"/>
        </w:rPr>
        <w:t xml:space="preserve">, 2006; 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2015).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כמתודולוגיה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עבורנו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שיתופיות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דיאלוגיות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הפירמבו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פורטלזה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סארה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-80. </w:t>
      </w:r>
      <w:r w:rsidDel="00000000" w:rsidR="00000000" w:rsidRPr="00000000">
        <w:rPr>
          <w:rtl w:val="1"/>
        </w:rPr>
        <w:t xml:space="preserve">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אדלברטו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בפגיעות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הדיאלוגי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המכריעים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בקהילה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התפתחותו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מומחים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בחוויות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להמשיך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בפסיכיאטריה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אנתרופולוגיה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תיאולוגיה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ואתנופסיכיאטריה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הפדרלית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סארה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לרופאים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בפסיכיאטריה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מטופלים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אמבולטורי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אחיו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איירטון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פירמבו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וטיפל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מייעץ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שהבחין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למשרדו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ותלמידיו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וארגנו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דחף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ולשוחח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הסכימו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התגובות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שהקשיבו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התאפיינו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בחמלה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וסולידריות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בחופשיות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מצוקותיהם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מרפאת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המומחה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בעייתית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שעבורו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פסיכופתולוגית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שרכש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קנינדה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המחפשים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סיסרו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המגן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קנינדה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והתרבותי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לדיאלוג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תרבותי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ועממי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קונפליקטים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במשבר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וכממוקם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הטיפולית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המבוססת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כרופא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, 2008) </w:t>
      </w:r>
      <w:r w:rsidDel="00000000" w:rsidR="00000000" w:rsidRPr="00000000">
        <w:rPr>
          <w:rtl w:val="1"/>
        </w:rPr>
        <w:t xml:space="preserve">ויכולתו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הרפואי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חינוכי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בריאותי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והחוויות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ומשפחות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במילותיו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דמוקרט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ייחודיות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המתודולוגיה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התיאורטי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eading=h.viaqsq665vik" w:id="4"/>
      <w:bookmarkEnd w:id="4"/>
      <w:r w:rsidDel="00000000" w:rsidR="00000000" w:rsidRPr="00000000">
        <w:rPr>
          <w:b w:val="1"/>
          <w:sz w:val="34"/>
          <w:szCs w:val="34"/>
          <w:rtl w:val="1"/>
        </w:rPr>
        <w:t xml:space="preserve">יסודות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קונספטואליים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ומטרות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מקהילה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ברטו</w:t>
      </w:r>
      <w:r w:rsidDel="00000000" w:rsidR="00000000" w:rsidRPr="00000000">
        <w:rPr>
          <w:rtl w:val="1"/>
        </w:rPr>
        <w:t xml:space="preserve"> (2008, 2013) </w:t>
      </w:r>
      <w:r w:rsidDel="00000000" w:rsidR="00000000" w:rsidRPr="00000000">
        <w:rPr>
          <w:rtl w:val="1"/>
        </w:rPr>
        <w:t xml:space="preserve">המשיג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תיאורטיים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תיאוריה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המתודולוגיה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הדיאלוגית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אנתרופולוגיה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וחוסן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להרחבה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before="240" w:lineRule="auto"/>
        <w:ind w:left="720" w:hanging="360"/>
        <w:rPr/>
      </w:pPr>
      <w:r w:rsidDel="00000000" w:rsidR="00000000" w:rsidRPr="00000000">
        <w:rPr>
          <w:rtl w:val="1"/>
        </w:rPr>
        <w:t xml:space="preserve">החשיבה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הפרדיגמטית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ומזמינה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המורכבות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הוודאות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והאינטרסובייקטיביות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2000; </w:t>
      </w:r>
      <w:r w:rsidDel="00000000" w:rsidR="00000000" w:rsidRPr="00000000">
        <w:rPr>
          <w:rtl w:val="1"/>
        </w:rPr>
        <w:t xml:space="preserve">אסטבס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וסקונסלוס</w:t>
      </w:r>
      <w:r w:rsidDel="00000000" w:rsidR="00000000" w:rsidRPr="00000000">
        <w:rPr>
          <w:rtl w:val="1"/>
        </w:rPr>
        <w:t xml:space="preserve">, 2002).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תיאוריית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המתמקדת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ההצעה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הדיאלוגית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ורפלקציה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פריירה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פריירה</w:t>
      </w:r>
      <w:r w:rsidDel="00000000" w:rsidR="00000000" w:rsidRPr="00000000">
        <w:rPr>
          <w:rtl w:val="1"/>
        </w:rPr>
        <w:t xml:space="preserve">, 1983, 1986), </w:t>
      </w:r>
      <w:r w:rsidDel="00000000" w:rsidR="00000000" w:rsidRPr="00000000">
        <w:rPr>
          <w:rtl w:val="1"/>
        </w:rPr>
        <w:t xml:space="preserve">המדגישה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ושינוי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אנתרופולוגיה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וריבוי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פרספקטיבת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החוסן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כמסוגלים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ונטילת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. (</w:t>
      </w:r>
      <w:r w:rsidDel="00000000" w:rsidR="00000000" w:rsidRPr="00000000">
        <w:rPr>
          <w:rtl w:val="1"/>
        </w:rPr>
        <w:t xml:space="preserve">אנדרסון</w:t>
      </w:r>
      <w:r w:rsidDel="00000000" w:rsidR="00000000" w:rsidRPr="00000000">
        <w:rPr>
          <w:rtl w:val="1"/>
        </w:rPr>
        <w:t xml:space="preserve">, 1997; 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2014, 2020).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2011) </w:t>
      </w:r>
      <w:r w:rsidDel="00000000" w:rsidR="00000000" w:rsidRPr="00000000">
        <w:rPr>
          <w:rtl w:val="1"/>
        </w:rPr>
        <w:t xml:space="preserve">ועמדת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הפרקטיקות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השיתופיות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דיאלוגיות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2015)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לוקחת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אישית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לתמוך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ביכולתו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אוטונומי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עצמאי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ובפוטנציאל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משפחתית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להעריך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קהילתית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וההזדהות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התרבותיים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לטפח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סולידריות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ופרקטיקות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מסורתיים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"; </w:t>
      </w:r>
      <w:r w:rsidDel="00000000" w:rsidR="00000000" w:rsidRPr="00000000">
        <w:rPr>
          <w:rtl w:val="1"/>
        </w:rPr>
        <w:t xml:space="preserve">לעודד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יוזמות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דיאלוג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ורפלקציה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eading=h.7eum6jvbnovf" w:id="5"/>
      <w:bookmarkEnd w:id="5"/>
      <w:r w:rsidDel="00000000" w:rsidR="00000000" w:rsidRPr="00000000">
        <w:rPr>
          <w:b w:val="1"/>
          <w:sz w:val="34"/>
          <w:szCs w:val="34"/>
          <w:rtl w:val="1"/>
        </w:rPr>
        <w:t xml:space="preserve">שלבים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של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מפגש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ICT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מפגשי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2020, </w:t>
      </w:r>
      <w:r w:rsidDel="00000000" w:rsidR="00000000" w:rsidRPr="00000000">
        <w:rPr>
          <w:rtl w:val="1"/>
        </w:rPr>
        <w:t xml:space="preserve">בתקופת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התחלנו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קולקטיבי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בדיאלוג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משתתפי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שדרה</w:t>
      </w:r>
      <w:r w:rsidDel="00000000" w:rsidR="00000000" w:rsidRPr="00000000">
        <w:rPr>
          <w:rtl w:val="1"/>
        </w:rPr>
        <w:t xml:space="preserve">: 1)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; 2) </w:t>
      </w:r>
      <w:r w:rsidDel="00000000" w:rsidR="00000000" w:rsidRPr="00000000">
        <w:rPr>
          <w:rtl w:val="1"/>
        </w:rPr>
        <w:t xml:space="preserve">בחירת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; 3)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; 4) </w:t>
      </w:r>
      <w:r w:rsidDel="00000000" w:rsidR="00000000" w:rsidRPr="00000000">
        <w:rPr>
          <w:rtl w:val="1"/>
        </w:rPr>
        <w:t xml:space="preserve">בעייתיות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-5) </w:t>
      </w: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הייחודיות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יתוארו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מתודולוגיית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250, 450, </w:t>
      </w:r>
      <w:r w:rsidDel="00000000" w:rsidR="00000000" w:rsidRPr="00000000">
        <w:rPr>
          <w:rtl w:val="1"/>
        </w:rPr>
        <w:t xml:space="preserve">ואפילו</w:t>
      </w:r>
      <w:r w:rsidDel="00000000" w:rsidR="00000000" w:rsidRPr="00000000">
        <w:rPr>
          <w:rtl w:val="1"/>
        </w:rPr>
        <w:t xml:space="preserve"> 1400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המחברים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וסרבני</w:t>
      </w:r>
      <w:r w:rsidDel="00000000" w:rsidR="00000000" w:rsidRPr="00000000">
        <w:rPr>
          <w:rtl w:val="1"/>
        </w:rPr>
        <w:t xml:space="preserve">, 2007).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6u95gyzcrhi9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1.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קבלת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פנים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וקביעת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המבנה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קבלת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הקהילה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הקהילתי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CT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ולמקסם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ואסטרטגיות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כפסיכותרפיה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והעצמה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spacing w:after="0" w:before="240" w:lineRule="auto"/>
        <w:ind w:left="720" w:hanging="360"/>
        <w:rPr/>
      </w:pP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בכינוי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תחושה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לעצמך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לדיאלוג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חוויותיהם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להימנע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היררכיים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bidi w:val="1"/>
        <w:spacing w:after="24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מהנוכחים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פתגם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אמרה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לחגיגת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מאפיינת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חגיגת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וייט</w:t>
      </w:r>
      <w:r w:rsidDel="00000000" w:rsidR="00000000" w:rsidRPr="00000000">
        <w:rPr>
          <w:rtl w:val="1"/>
        </w:rPr>
        <w:t xml:space="preserve"> 2004, 2007; 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2011), </w:t>
      </w:r>
      <w:r w:rsidDel="00000000" w:rsidR="00000000" w:rsidRPr="00000000">
        <w:rPr>
          <w:rtl w:val="1"/>
        </w:rPr>
        <w:t xml:space="preserve">טקס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לחגוג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שהשיגו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ואלכוהול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משתתף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לחגוג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נקי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בקראק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החגיגה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אווירה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rqvtgia3mank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בחירת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נושא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לשיחת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היום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בהשראת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המתודולוגיה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פריירה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פריירה</w:t>
      </w:r>
      <w:r w:rsidDel="00000000" w:rsidR="00000000" w:rsidRPr="00000000">
        <w:rPr>
          <w:rtl w:val="1"/>
        </w:rPr>
        <w:t xml:space="preserve">, 1983, 1986),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הדאגה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היומיום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שנאספו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ההדהוד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להצבעה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מהמטפל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-18 </w:t>
      </w:r>
      <w:r w:rsidDel="00000000" w:rsidR="00000000" w:rsidRPr="00000000">
        <w:rPr>
          <w:rtl w:val="1"/>
        </w:rPr>
        <w:t xml:space="preserve">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פרקטיקה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MG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 2020, </w:t>
      </w:r>
      <w:r w:rsidDel="00000000" w:rsidR="00000000" w:rsidRPr="00000000">
        <w:rPr>
          <w:rtl w:val="1"/>
        </w:rPr>
        <w:t xml:space="preserve">שנערך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הארגונים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INTERFACI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הפדרלית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פאולו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UNIFESP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COVID</w:t>
      </w:r>
      <w:r w:rsidDel="00000000" w:rsidR="00000000" w:rsidRPr="00000000">
        <w:rPr>
          <w:rtl w:val="1"/>
        </w:rPr>
        <w:t xml:space="preserve">-19.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spacing w:after="0" w:before="240" w:lineRule="auto"/>
        <w:ind w:left="720" w:hanging="360"/>
        <w:rPr/>
      </w:pPr>
      <w:r w:rsidDel="00000000" w:rsidR="00000000" w:rsidRPr="00000000">
        <w:rPr>
          <w:rtl w:val="1"/>
        </w:rPr>
        <w:t xml:space="preserve">העצב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והייאוש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רשלנות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ובאחרים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מצוקה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בבידוד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מעורבים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24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תחושות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sd7zeifajs5j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3.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הקשרת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הנושא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הנבחר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ברגשותיו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ההתמקדות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ולהדהד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ארוך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מקסימום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דיאלוגי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המשמעויות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המשותפות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הצבת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הישגיהם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השגרתי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לאקזוטי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לגרסאות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כמיומנים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אונטולוגיה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." (</w:t>
      </w:r>
      <w:r w:rsidDel="00000000" w:rsidR="00000000" w:rsidRPr="00000000">
        <w:rPr>
          <w:rtl w:val="1"/>
        </w:rPr>
        <w:t xml:space="preserve">גרנדסו</w:t>
      </w:r>
      <w:r w:rsidDel="00000000" w:rsidR="00000000" w:rsidRPr="00000000">
        <w:rPr>
          <w:rtl w:val="1"/>
        </w:rPr>
        <w:t xml:space="preserve">, 2015, 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128)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מנסחים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רפלקטיבית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פוטנציאלית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מההקשבה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שברטו</w:t>
      </w:r>
      <w:r w:rsidDel="00000000" w:rsidR="00000000" w:rsidRPr="00000000">
        <w:rPr>
          <w:rtl w:val="1"/>
        </w:rPr>
        <w:t xml:space="preserve"> (2008) </w:t>
      </w:r>
      <w:r w:rsidDel="00000000" w:rsidR="00000000" w:rsidRPr="00000000">
        <w:rPr>
          <w:rtl w:val="1"/>
        </w:rPr>
        <w:t xml:space="preserve">מכנה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שתופסת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יגייס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gw5vul6b7prm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4.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בעייתיות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שיתוף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ידע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מקומי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המוטו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שפיתחו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?"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ICT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MG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COVID</w:t>
      </w:r>
      <w:r w:rsidDel="00000000" w:rsidR="00000000" w:rsidRPr="00000000">
        <w:rPr>
          <w:rtl w:val="1"/>
        </w:rPr>
        <w:t xml:space="preserve">-19. </w:t>
      </w:r>
      <w:r w:rsidDel="00000000" w:rsidR="00000000" w:rsidRPr="00000000">
        <w:rPr>
          <w:rtl w:val="1"/>
        </w:rPr>
        <w:t xml:space="preserve">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?"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VIz/yILMlz7oqM16ibRWPn6Fw==">CgMxLjAyDmguZ213cXgzb3hwaGo5Mg5oLmtub25waXB4cmxqMzIOaC5wOWg0eGI2dGFoZWMyDmguZXM3bXB2c3Vmam04Mg5oLnZpYXFzcTY2NXZpazIOaC43ZXVtNmp2Ym5vdmYyDmguNnU5NWd5emNyaGk5Mg5oLnJxdnRnaWEzbWFuazIOaC5zZDd6ZWlmYWpzNWoyDmguZ3c1dnVsNmI3cHJtOAByITFLZXNmR1MwNUtla1BiYVFMVV9mS283a0FQcWNKb29Idg==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